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9DF" w:rsidRPr="00741F42" w:rsidRDefault="00E539DF">
      <w:pPr>
        <w:pStyle w:val="Ttulo"/>
        <w:rPr>
          <w:rFonts w:ascii="Book Antiqua" w:hAnsi="Book Antiqua"/>
          <w:color w:val="FF0000"/>
          <w:sz w:val="32"/>
          <w:szCs w:val="32"/>
          <w:lang w:val="pt-BR"/>
        </w:rPr>
      </w:pPr>
      <w:r w:rsidRPr="00741F42">
        <w:rPr>
          <w:rFonts w:ascii="Book Antiqua" w:hAnsi="Book Antiqua"/>
          <w:color w:val="FF0000"/>
          <w:sz w:val="32"/>
          <w:szCs w:val="32"/>
          <w:lang w:val="pt-BR"/>
        </w:rPr>
        <w:t>Dharma: a Base da Vida Humana</w:t>
      </w:r>
    </w:p>
    <w:p w:rsidR="00E539DF" w:rsidRPr="006F0E3D" w:rsidRDefault="00E539DF">
      <w:pPr>
        <w:pStyle w:val="Ttulo"/>
        <w:rPr>
          <w:rFonts w:ascii="Verdana" w:hAnsi="Verdana"/>
          <w:color w:val="FF0000"/>
          <w:sz w:val="32"/>
          <w:szCs w:val="32"/>
        </w:rPr>
      </w:pPr>
    </w:p>
    <w:p w:rsidR="00E539DF" w:rsidRPr="00741F42" w:rsidRDefault="00E539DF">
      <w:pPr>
        <w:pStyle w:val="Ttulo2"/>
        <w:jc w:val="right"/>
        <w:rPr>
          <w:rFonts w:ascii="Book Antiqua" w:hAnsi="Book Antiqua"/>
          <w:i w:val="0"/>
          <w:iCs w:val="0"/>
        </w:rPr>
      </w:pPr>
      <w:r w:rsidRPr="00741F42">
        <w:rPr>
          <w:rFonts w:ascii="Book Antiqua" w:hAnsi="Book Antiqua"/>
          <w:i w:val="0"/>
          <w:iCs w:val="0"/>
        </w:rPr>
        <w:t>Swami Paratparananda</w:t>
      </w:r>
    </w:p>
    <w:p w:rsidR="00E539DF" w:rsidRPr="006F0E3D" w:rsidRDefault="00E539DF">
      <w:pPr>
        <w:pStyle w:val="Ttulo"/>
        <w:rPr>
          <w:rFonts w:ascii="Verdana" w:hAnsi="Verdana"/>
          <w:color w:val="FF0000"/>
          <w:sz w:val="32"/>
          <w:szCs w:val="32"/>
        </w:rPr>
      </w:pPr>
    </w:p>
    <w:p w:rsidR="00E539DF" w:rsidRPr="006F0E3D" w:rsidRDefault="00E539DF">
      <w:pPr>
        <w:pStyle w:val="Ttulo"/>
        <w:rPr>
          <w:rFonts w:ascii="Verdana" w:hAnsi="Verdana"/>
          <w:color w:val="FF0000"/>
          <w:sz w:val="32"/>
          <w:szCs w:val="32"/>
        </w:rPr>
      </w:pPr>
    </w:p>
    <w:p w:rsidR="00E539DF" w:rsidRPr="005577F7" w:rsidRDefault="00E539DF">
      <w:pPr>
        <w:pStyle w:val="Ttulo"/>
        <w:jc w:val="right"/>
        <w:rPr>
          <w:rFonts w:ascii="Verdana" w:hAnsi="Verdana"/>
          <w:sz w:val="20"/>
          <w:szCs w:val="20"/>
          <w:lang w:val="pt-BR"/>
        </w:rPr>
      </w:pPr>
      <w:r w:rsidRPr="005577F7">
        <w:rPr>
          <w:rFonts w:ascii="Verdana" w:hAnsi="Verdana"/>
          <w:sz w:val="20"/>
          <w:szCs w:val="20"/>
          <w:lang w:val="pt-BR"/>
        </w:rPr>
        <w:t>(*) Publicado na edição de Nov/Dez de 1984 da revista “Vedanta Kesari”</w:t>
      </w:r>
    </w:p>
    <w:p w:rsidR="00E539DF" w:rsidRPr="006F0E3D" w:rsidRDefault="00E539DF">
      <w:pPr>
        <w:pStyle w:val="Ttulo"/>
        <w:rPr>
          <w:rFonts w:ascii="Verdana" w:hAnsi="Verdana"/>
          <w:color w:val="FF0000"/>
          <w:sz w:val="32"/>
          <w:szCs w:val="32"/>
          <w:lang w:val="pt-BR"/>
        </w:rPr>
      </w:pPr>
    </w:p>
    <w:p w:rsidR="00E539DF" w:rsidRPr="00741F42" w:rsidRDefault="00E539DF">
      <w:pPr>
        <w:pStyle w:val="Recuodecorpodetexto"/>
        <w:jc w:val="both"/>
        <w:rPr>
          <w:rFonts w:ascii="Book Antiqua" w:hAnsi="Book Antiqua"/>
          <w:sz w:val="26"/>
          <w:szCs w:val="26"/>
          <w:lang w:val="pt-BR"/>
        </w:rPr>
      </w:pPr>
      <w:r w:rsidRPr="00741F42">
        <w:rPr>
          <w:rFonts w:ascii="Book Antiqua" w:hAnsi="Book Antiqua"/>
          <w:sz w:val="26"/>
          <w:szCs w:val="26"/>
          <w:lang w:val="pt-BR"/>
        </w:rPr>
        <w:t>(Cedo ou tarde o homem descobre que os prazeres que os sentidos trazem a ele são extremamente transientes e até contra-produtivos. É o Dharma que o coloca em contato com o mundo supra-sensório da Realidade e o eleva da existência do bruto para a vida Divina. Swami Paratparananda, dirigente do Ram</w:t>
      </w:r>
      <w:r w:rsidR="005577F7" w:rsidRPr="00741F42">
        <w:rPr>
          <w:rFonts w:ascii="Book Antiqua" w:hAnsi="Book Antiqua"/>
          <w:sz w:val="26"/>
          <w:szCs w:val="26"/>
          <w:lang w:val="pt-BR"/>
        </w:rPr>
        <w:t>akrishna Ashrama, Argentina</w:t>
      </w:r>
      <w:r w:rsidR="005577F7" w:rsidRPr="00741F42">
        <w:rPr>
          <w:rStyle w:val="Refdenotaderodap"/>
          <w:rFonts w:ascii="Book Antiqua" w:hAnsi="Book Antiqua"/>
          <w:color w:val="0000FF"/>
          <w:sz w:val="26"/>
          <w:szCs w:val="26"/>
          <w:lang w:val="pt-BR"/>
        </w:rPr>
        <w:footnoteReference w:id="1"/>
      </w:r>
      <w:r w:rsidRPr="00741F42">
        <w:rPr>
          <w:rFonts w:ascii="Book Antiqua" w:hAnsi="Book Antiqua"/>
          <w:sz w:val="26"/>
          <w:szCs w:val="26"/>
          <w:lang w:val="pt-BR"/>
        </w:rPr>
        <w:t xml:space="preserve"> e um ex-editor da “</w:t>
      </w:r>
      <w:r w:rsidRPr="00741F42">
        <w:rPr>
          <w:rFonts w:ascii="Book Antiqua" w:hAnsi="Book Antiqua"/>
          <w:b/>
          <w:bCs/>
          <w:sz w:val="26"/>
          <w:szCs w:val="26"/>
          <w:lang w:val="pt-BR"/>
        </w:rPr>
        <w:t>Vedanta Kesari</w:t>
      </w:r>
      <w:r w:rsidRPr="00741F42">
        <w:rPr>
          <w:rFonts w:ascii="Book Antiqua" w:hAnsi="Book Antiqua"/>
          <w:sz w:val="26"/>
          <w:szCs w:val="26"/>
          <w:lang w:val="pt-BR"/>
        </w:rPr>
        <w:t>”</w:t>
      </w:r>
      <w:r w:rsidR="005577F7" w:rsidRPr="00741F42">
        <w:rPr>
          <w:rStyle w:val="Refdenotaderodap"/>
          <w:rFonts w:ascii="Book Antiqua" w:hAnsi="Book Antiqua"/>
          <w:color w:val="0000FF"/>
          <w:sz w:val="26"/>
          <w:szCs w:val="26"/>
          <w:lang w:val="pt-BR"/>
        </w:rPr>
        <w:footnoteReference w:id="2"/>
      </w:r>
      <w:r w:rsidRPr="00741F42">
        <w:rPr>
          <w:rFonts w:ascii="Book Antiqua" w:hAnsi="Book Antiqua"/>
          <w:sz w:val="26"/>
          <w:szCs w:val="26"/>
          <w:lang w:val="pt-BR"/>
        </w:rPr>
        <w:t>, explica como Sri Ramakrishna enfatiza que o principal ingrediente do Dharma ou disciplina religiosa é a renúncia – externa, se possível, mas interna, categoricamente).</w:t>
      </w:r>
    </w:p>
    <w:p w:rsidR="00E539DF" w:rsidRPr="006F0E3D" w:rsidRDefault="00E539DF">
      <w:pPr>
        <w:pStyle w:val="Recuodecorpodetexto"/>
        <w:jc w:val="both"/>
        <w:rPr>
          <w:rFonts w:ascii="Verdana" w:hAnsi="Verdana"/>
          <w:lang w:val="pt-BR"/>
        </w:rPr>
      </w:pPr>
    </w:p>
    <w:p w:rsidR="00E539DF" w:rsidRPr="006F0E3D" w:rsidRDefault="00E539DF">
      <w:pPr>
        <w:ind w:firstLine="708"/>
        <w:jc w:val="both"/>
        <w:rPr>
          <w:rFonts w:ascii="Verdana" w:hAnsi="Verdana"/>
        </w:rPr>
      </w:pPr>
    </w:p>
    <w:p w:rsidR="00E539DF" w:rsidRPr="00741F42" w:rsidRDefault="00E539DF" w:rsidP="00741F42">
      <w:pPr>
        <w:widowControl w:val="0"/>
        <w:autoSpaceDE w:val="0"/>
        <w:autoSpaceDN w:val="0"/>
        <w:spacing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 w:rsidRPr="00741F42">
        <w:rPr>
          <w:rFonts w:ascii="Book Antiqua" w:hAnsi="Book Antiqua"/>
          <w:sz w:val="26"/>
          <w:szCs w:val="26"/>
        </w:rPr>
        <w:t>Vários são os significados deste termo sânscrito, Dharma. Por exemplo, retidão, a natureza inata de algo, deveres devido ao nascimento e posição na vida, são alguns deles. Nós lidaremos aqui com o mencionado em primeiro lugar, isto é, retidão</w:t>
      </w:r>
      <w:r w:rsidR="00741F42">
        <w:rPr>
          <w:rFonts w:ascii="Book Antiqua" w:hAnsi="Book Antiqua"/>
          <w:sz w:val="26"/>
          <w:szCs w:val="26"/>
        </w:rPr>
        <w:t xml:space="preserve"> </w:t>
      </w:r>
      <w:r w:rsidRPr="00741F42">
        <w:rPr>
          <w:rFonts w:ascii="Book Antiqua" w:hAnsi="Book Antiqua"/>
          <w:sz w:val="26"/>
          <w:szCs w:val="26"/>
        </w:rPr>
        <w:t xml:space="preserve">ou religião como é algumas vezes definido. É claro que na Índia a religião inclui deveres de acordo com </w:t>
      </w:r>
      <w:r w:rsidRPr="00741F42">
        <w:rPr>
          <w:rFonts w:ascii="Book Antiqua" w:hAnsi="Book Antiqua"/>
          <w:i/>
          <w:iCs/>
          <w:sz w:val="26"/>
          <w:szCs w:val="26"/>
        </w:rPr>
        <w:t>varna</w:t>
      </w:r>
      <w:r w:rsidRPr="00741F42">
        <w:rPr>
          <w:rFonts w:ascii="Book Antiqua" w:hAnsi="Book Antiqua"/>
          <w:sz w:val="26"/>
          <w:szCs w:val="26"/>
        </w:rPr>
        <w:t xml:space="preserve"> e </w:t>
      </w:r>
      <w:r w:rsidRPr="00741F42">
        <w:rPr>
          <w:rFonts w:ascii="Book Antiqua" w:hAnsi="Book Antiqua"/>
          <w:i/>
          <w:iCs/>
          <w:sz w:val="26"/>
          <w:szCs w:val="26"/>
        </w:rPr>
        <w:t>âsrama</w:t>
      </w:r>
      <w:r w:rsidRPr="00741F42">
        <w:rPr>
          <w:rFonts w:ascii="Book Antiqua" w:hAnsi="Book Antiqua"/>
          <w:sz w:val="26"/>
          <w:szCs w:val="26"/>
        </w:rPr>
        <w:t xml:space="preserve"> (nascimento e posição na vida) apesar de que estes são conceitos não tão rigidamente praticados hoje </w:t>
      </w:r>
      <w:smartTag w:uri="urn:schemas-microsoft-com:office:smarttags" w:element="PersonName">
        <w:smartTagPr>
          <w:attr w:name="ProductID" w:val="em dia. Religi￣o"/>
        </w:smartTagPr>
        <w:r w:rsidRPr="00741F42">
          <w:rPr>
            <w:rFonts w:ascii="Book Antiqua" w:hAnsi="Book Antiqua"/>
            <w:sz w:val="26"/>
            <w:szCs w:val="26"/>
          </w:rPr>
          <w:t>em dia. Religião</w:t>
        </w:r>
      </w:smartTag>
      <w:r w:rsidRPr="00741F42">
        <w:rPr>
          <w:rFonts w:ascii="Book Antiqua" w:hAnsi="Book Antiqua"/>
          <w:sz w:val="26"/>
          <w:szCs w:val="26"/>
        </w:rPr>
        <w:t xml:space="preserve"> ou Dharma é algo mais do que a mera conformidade com obrigações sociais, restrições ou regras; mais do que meros dogmas e credos. Regras sociais e códigos morais podem e realmente mudam de acordo com a época e lugar. Por exemplo, o que é considerado como imoral em alguns países pode ser aceito como totalmente normal ou natural em outros, etc. Mas mera moralidade não é a meta e finalidade do homem. É apenas o meio para atingir algo superior, algo eterno e este algo é o sujeito da religião ou Dharma. Pode-se chamar este sujeito como Deus ou Espírito ou por qualquer outro nome.</w:t>
      </w:r>
    </w:p>
    <w:p w:rsidR="00E539DF" w:rsidRPr="00741F42" w:rsidRDefault="00E539DF" w:rsidP="00741F42">
      <w:pPr>
        <w:widowControl w:val="0"/>
        <w:autoSpaceDE w:val="0"/>
        <w:autoSpaceDN w:val="0"/>
        <w:spacing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 w:rsidRPr="00741F42">
        <w:rPr>
          <w:rFonts w:ascii="Book Antiqua" w:hAnsi="Book Antiqua"/>
          <w:sz w:val="26"/>
          <w:szCs w:val="26"/>
        </w:rPr>
        <w:t xml:space="preserve">A questão que surge na mente do homem moderno é: que papel pode a religião desempenhar na atual era de ciência e tecnologia? Poderá ela sobreviver aos ataques destas forças? Devemos lembrar que a ciência e a tecnologia lidam com a matéria, coisas perecíveis e não eternas. A matéria, por mais que possa durar, um dia se destrói; ela não pode durar para sempre, não pode ser permanente. Tendo sido composta de elementos, deve retornar mais cedo ou mais tarde aos seus elementos; e aquilo que não é permanente não pode </w:t>
      </w:r>
      <w:r w:rsidRPr="00741F42">
        <w:rPr>
          <w:rFonts w:ascii="Book Antiqua" w:hAnsi="Book Antiqua"/>
          <w:sz w:val="26"/>
          <w:szCs w:val="26"/>
        </w:rPr>
        <w:lastRenderedPageBreak/>
        <w:t>dar felicidade duradoura. O homem nunca consegue felicidade duradoura. O homem nunca se satisfaz com a riqueza. Quanto mais ele tem, mais ele deseja. Assim também é o caso com os prazeres dos sentidos. O corpo pode ficar fraco, mas o desejo por eles não deixa o homem. Habilmente Bhartrihari disse no seu Vairagya Sataka:</w:t>
      </w:r>
      <w:r w:rsidRPr="00741F42">
        <w:rPr>
          <w:rFonts w:ascii="Book Antiqua" w:hAnsi="Book Antiqua"/>
          <w:i/>
          <w:iCs/>
          <w:sz w:val="26"/>
          <w:szCs w:val="26"/>
        </w:rPr>
        <w:t xml:space="preserve"> bhogâ na bhuktâ vayam eva bhuktâh,</w:t>
      </w:r>
      <w:r w:rsidRPr="00741F42">
        <w:rPr>
          <w:rFonts w:ascii="Book Antiqua" w:hAnsi="Book Antiqua"/>
          <w:sz w:val="26"/>
          <w:szCs w:val="26"/>
        </w:rPr>
        <w:t xml:space="preserve"> “Os prazeres mundanos não foram desfrutados por nós; pelo contrario nós mesmos temos sido devorados”</w:t>
      </w:r>
      <w:r w:rsidR="005577F7" w:rsidRPr="00741F42">
        <w:rPr>
          <w:rFonts w:ascii="Book Antiqua" w:hAnsi="Book Antiqua"/>
          <w:sz w:val="26"/>
          <w:szCs w:val="26"/>
        </w:rPr>
        <w:t>.</w:t>
      </w:r>
      <w:r w:rsidR="005577F7" w:rsidRPr="00741F42">
        <w:rPr>
          <w:rStyle w:val="Refdenotaderodap"/>
          <w:rFonts w:ascii="Book Antiqua" w:hAnsi="Book Antiqua"/>
          <w:color w:val="0000FF"/>
          <w:sz w:val="26"/>
          <w:szCs w:val="26"/>
        </w:rPr>
        <w:footnoteReference w:id="3"/>
      </w:r>
      <w:r w:rsidRPr="00741F42">
        <w:rPr>
          <w:rFonts w:ascii="Book Antiqua" w:hAnsi="Book Antiqua"/>
          <w:color w:val="0000FF"/>
          <w:sz w:val="26"/>
          <w:szCs w:val="26"/>
        </w:rPr>
        <w:t xml:space="preserve"> </w:t>
      </w:r>
      <w:r w:rsidRPr="00741F42">
        <w:rPr>
          <w:rFonts w:ascii="Book Antiqua" w:hAnsi="Book Antiqua"/>
          <w:sz w:val="26"/>
          <w:szCs w:val="26"/>
        </w:rPr>
        <w:t>E ele continua:</w:t>
      </w:r>
      <w:r w:rsidRPr="00741F42">
        <w:rPr>
          <w:rFonts w:ascii="Book Antiqua" w:hAnsi="Book Antiqua"/>
          <w:i/>
          <w:iCs/>
          <w:sz w:val="26"/>
          <w:szCs w:val="26"/>
        </w:rPr>
        <w:t xml:space="preserve"> trsnâ na jirnâ vayam eva jirnâh,</w:t>
      </w:r>
      <w:r w:rsidRPr="00741F42">
        <w:rPr>
          <w:rFonts w:ascii="Book Antiqua" w:hAnsi="Book Antiqua"/>
          <w:sz w:val="26"/>
          <w:szCs w:val="26"/>
        </w:rPr>
        <w:t xml:space="preserve"> “O desejo não é enfraquecido, apesar de que nós mesmos nos debilitamos”.</w:t>
      </w:r>
      <w:r w:rsidR="005577F7" w:rsidRPr="00741F42">
        <w:rPr>
          <w:rStyle w:val="Refdenotaderodap"/>
          <w:rFonts w:ascii="Book Antiqua" w:hAnsi="Book Antiqua"/>
          <w:color w:val="0000FF"/>
          <w:sz w:val="26"/>
          <w:szCs w:val="26"/>
        </w:rPr>
        <w:footnoteReference w:id="4"/>
      </w:r>
      <w:r w:rsidRPr="00741F42">
        <w:rPr>
          <w:rFonts w:ascii="Book Antiqua" w:hAnsi="Book Antiqua"/>
          <w:sz w:val="26"/>
          <w:szCs w:val="26"/>
        </w:rPr>
        <w:t xml:space="preserve"> E mais</w:t>
      </w:r>
      <w:r w:rsidRPr="00741F42">
        <w:rPr>
          <w:rFonts w:ascii="Book Antiqua" w:hAnsi="Book Antiqua"/>
          <w:i/>
          <w:iCs/>
          <w:sz w:val="26"/>
          <w:szCs w:val="26"/>
        </w:rPr>
        <w:t>: valibhir mukham âkrântam pâlitena ankitam sirah, gâtrâni sithilâyante trsnaikâ tarunâyate,</w:t>
      </w:r>
      <w:r w:rsidRPr="00741F42">
        <w:rPr>
          <w:rFonts w:ascii="Book Antiqua" w:hAnsi="Book Antiqua"/>
          <w:sz w:val="26"/>
          <w:szCs w:val="26"/>
        </w:rPr>
        <w:t xml:space="preserve"> “A face está coberta por rugas, a cabeça pintada de branco (por causa dos cabelos grisalhos), os membros se tornaram fracos, apesar de que apenas o desejo é sempre rejuvenescido”.</w:t>
      </w:r>
      <w:r w:rsidR="008B1D4C" w:rsidRPr="00741F42">
        <w:rPr>
          <w:rStyle w:val="Refdenotaderodap"/>
          <w:rFonts w:ascii="Book Antiqua" w:hAnsi="Book Antiqua"/>
          <w:color w:val="0000FF"/>
          <w:sz w:val="26"/>
          <w:szCs w:val="26"/>
        </w:rPr>
        <w:footnoteReference w:id="5"/>
      </w:r>
      <w:r w:rsidRPr="00741F42">
        <w:rPr>
          <w:rFonts w:ascii="Book Antiqua" w:hAnsi="Book Antiqua"/>
          <w:color w:val="0000FF"/>
          <w:sz w:val="26"/>
          <w:szCs w:val="26"/>
        </w:rPr>
        <w:t xml:space="preserve"> </w:t>
      </w:r>
      <w:r w:rsidR="006F18DA" w:rsidRPr="00741F42">
        <w:rPr>
          <w:rFonts w:ascii="Book Antiqua" w:hAnsi="Book Antiqua"/>
          <w:color w:val="0000FF"/>
          <w:sz w:val="26"/>
          <w:szCs w:val="26"/>
        </w:rPr>
        <w:t xml:space="preserve"> </w:t>
      </w:r>
      <w:r w:rsidRPr="00741F42">
        <w:rPr>
          <w:rFonts w:ascii="Book Antiqua" w:hAnsi="Book Antiqua"/>
          <w:sz w:val="26"/>
          <w:szCs w:val="26"/>
        </w:rPr>
        <w:t>Esta é a condição do homem entregue à satisfação dos sentidos. A ciência e a tecnologia ainda não descobriram métodos de parar ou prevenir este declínio ou deterioração das forças físicas e mentais do homem nem trazer a ele a satisfação que pode durar mesmo sob circunstâncias adversas como enfermidade e senilidade, etc.</w:t>
      </w:r>
    </w:p>
    <w:p w:rsidR="00E539DF" w:rsidRPr="00741F42" w:rsidRDefault="00E539DF" w:rsidP="00741F42">
      <w:pPr>
        <w:widowControl w:val="0"/>
        <w:autoSpaceDE w:val="0"/>
        <w:autoSpaceDN w:val="0"/>
        <w:spacing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 w:rsidRPr="00741F42">
        <w:rPr>
          <w:rFonts w:ascii="Book Antiqua" w:hAnsi="Book Antiqua"/>
          <w:sz w:val="26"/>
          <w:szCs w:val="26"/>
        </w:rPr>
        <w:t>Contudo, nós não dizemos que não existam pessoas que ignorem as realidades da vida e tente</w:t>
      </w:r>
      <w:r w:rsidR="00816126" w:rsidRPr="00741F42">
        <w:rPr>
          <w:rFonts w:ascii="Book Antiqua" w:hAnsi="Book Antiqua"/>
          <w:sz w:val="26"/>
          <w:szCs w:val="26"/>
        </w:rPr>
        <w:t xml:space="preserve">m desfrutar dos prazeres. Como o avestruz, que quando caçado, se diz, </w:t>
      </w:r>
      <w:r w:rsidRPr="00741F42">
        <w:rPr>
          <w:rFonts w:ascii="Book Antiqua" w:hAnsi="Book Antiqua"/>
          <w:sz w:val="26"/>
          <w:szCs w:val="26"/>
        </w:rPr>
        <w:t>corre tanto quanto pode e enfia sua cabeça na areia e acredita que não há mais perigo ou inimigos. Para estas pessoas este mundo é tudo quanto existe. No Kathopanishad, Yama diz: “O além nunca aparece diante das pessoas tolas, enganadas pela ilusão da riqueza. Aqueles que pensam: ‘Este é o único mundo e não há nenhum outro’</w:t>
      </w:r>
      <w:r w:rsidR="00074C7D" w:rsidRPr="00741F42">
        <w:rPr>
          <w:rFonts w:ascii="Book Antiqua" w:hAnsi="Book Antiqua"/>
          <w:sz w:val="26"/>
          <w:szCs w:val="26"/>
        </w:rPr>
        <w:t>, caem sob meu domínio inúmeras</w:t>
      </w:r>
      <w:r w:rsidRPr="00741F42">
        <w:rPr>
          <w:rFonts w:ascii="Book Antiqua" w:hAnsi="Book Antiqua"/>
          <w:sz w:val="26"/>
          <w:szCs w:val="26"/>
        </w:rPr>
        <w:t xml:space="preserve"> vezes”.</w:t>
      </w:r>
      <w:r w:rsidR="008B1D4C" w:rsidRPr="00741F42">
        <w:rPr>
          <w:rStyle w:val="Refdenotaderodap"/>
          <w:rFonts w:ascii="Book Antiqua" w:hAnsi="Book Antiqua"/>
          <w:color w:val="0000FF"/>
          <w:sz w:val="26"/>
          <w:szCs w:val="26"/>
        </w:rPr>
        <w:footnoteReference w:id="6"/>
      </w:r>
      <w:r w:rsidRPr="00741F42">
        <w:rPr>
          <w:rStyle w:val="Refdenotaderodap"/>
          <w:rFonts w:ascii="Book Antiqua" w:hAnsi="Book Antiqua"/>
          <w:color w:val="0000FF"/>
          <w:sz w:val="26"/>
          <w:szCs w:val="26"/>
        </w:rPr>
        <w:t xml:space="preserve"> </w:t>
      </w:r>
      <w:r w:rsidRPr="00741F42">
        <w:rPr>
          <w:rFonts w:ascii="Book Antiqua" w:hAnsi="Book Antiqua"/>
          <w:sz w:val="26"/>
          <w:szCs w:val="26"/>
        </w:rPr>
        <w:t>Swami Vivekananda diz: “Somente os tolos correm atrás dos gozos dos sentidos. É fácil viver nos sentidos. É mais fácil andar pelo velho caminho com o piso batido, comendo e bebendo, mas o que estes modernos filósofos querem dizer a você é que peguem estas idéias confortáveis e coloquem o selo da religião nelas. Tal doutrina é perigosa. A morte jaz nos sentidos. A vida no plano do Espírito é a única vida, a vida em qualquer outro plano é apenas a morte”.</w:t>
      </w:r>
      <w:r w:rsidR="008B1D4C" w:rsidRPr="00741F42">
        <w:rPr>
          <w:rStyle w:val="Refdenotaderodap"/>
          <w:rFonts w:ascii="Book Antiqua" w:hAnsi="Book Antiqua"/>
          <w:color w:val="0000FF"/>
          <w:sz w:val="26"/>
          <w:szCs w:val="26"/>
        </w:rPr>
        <w:footnoteReference w:id="7"/>
      </w:r>
      <w:r w:rsidRPr="00741F42">
        <w:rPr>
          <w:rFonts w:ascii="Book Antiqua" w:hAnsi="Book Antiqua"/>
          <w:color w:val="0000FF"/>
          <w:sz w:val="26"/>
          <w:szCs w:val="26"/>
        </w:rPr>
        <w:t xml:space="preserve"> </w:t>
      </w:r>
      <w:r w:rsidRPr="00741F42">
        <w:rPr>
          <w:rFonts w:ascii="Book Antiqua" w:hAnsi="Book Antiqua"/>
          <w:sz w:val="26"/>
          <w:szCs w:val="26"/>
        </w:rPr>
        <w:t>Aqui nós encontramos a resposta também para aqueles que querem fazer da religião algo confortável, adaptada ao plano sensório.</w:t>
      </w:r>
    </w:p>
    <w:p w:rsidR="00E539DF" w:rsidRPr="00741F42" w:rsidRDefault="00E539DF" w:rsidP="00741F42">
      <w:pPr>
        <w:widowControl w:val="0"/>
        <w:autoSpaceDE w:val="0"/>
        <w:autoSpaceDN w:val="0"/>
        <w:spacing w:line="264" w:lineRule="auto"/>
        <w:ind w:firstLine="851"/>
        <w:jc w:val="both"/>
        <w:rPr>
          <w:rFonts w:ascii="Book Antiqua" w:hAnsi="Book Antiqua"/>
          <w:color w:val="0000FF"/>
          <w:sz w:val="26"/>
          <w:szCs w:val="26"/>
        </w:rPr>
      </w:pPr>
      <w:r w:rsidRPr="00741F42">
        <w:rPr>
          <w:rFonts w:ascii="Book Antiqua" w:hAnsi="Book Antiqua"/>
          <w:sz w:val="26"/>
          <w:szCs w:val="26"/>
        </w:rPr>
        <w:t xml:space="preserve">O homem busca a felicidade e acha que pode obtê-la nos objetos dos sentidos; mas, tristemente, ele descobre que a felicidade que estes objetos </w:t>
      </w:r>
      <w:r w:rsidRPr="00741F42">
        <w:rPr>
          <w:rFonts w:ascii="Book Antiqua" w:hAnsi="Book Antiqua"/>
          <w:sz w:val="26"/>
          <w:szCs w:val="26"/>
        </w:rPr>
        <w:lastRenderedPageBreak/>
        <w:t xml:space="preserve">podem dar é de muito pouca duração e que ele tem que </w:t>
      </w:r>
      <w:r w:rsidR="000804D0" w:rsidRPr="00741F42">
        <w:rPr>
          <w:rFonts w:ascii="Book Antiqua" w:hAnsi="Book Antiqua"/>
          <w:sz w:val="26"/>
          <w:szCs w:val="26"/>
        </w:rPr>
        <w:t>ganhá</w:t>
      </w:r>
      <w:r w:rsidRPr="00741F42">
        <w:rPr>
          <w:rFonts w:ascii="Book Antiqua" w:hAnsi="Book Antiqua"/>
          <w:sz w:val="26"/>
          <w:szCs w:val="26"/>
        </w:rPr>
        <w:t xml:space="preserve">-la a um custo muito elevado. Ele começa com tremendo otimismo, mas quando fica velho, gradualmente torna-se um pessimista. Swami Vivekananda declara: </w:t>
      </w:r>
      <w:r w:rsidR="000804D0" w:rsidRPr="00741F42">
        <w:rPr>
          <w:rFonts w:ascii="Book Antiqua" w:hAnsi="Book Antiqua"/>
          <w:sz w:val="26"/>
          <w:szCs w:val="26"/>
        </w:rPr>
        <w:t>“</w:t>
      </w:r>
      <w:r w:rsidRPr="00741F42">
        <w:rPr>
          <w:rFonts w:ascii="Book Antiqua" w:hAnsi="Book Antiqua"/>
          <w:sz w:val="26"/>
          <w:szCs w:val="26"/>
        </w:rPr>
        <w:t>A felicidade real não está nos sentidos, mas acima dos sentidos e está em todos os homens. O tipo de otimismo que vemos no mundo é o que levará até a ruína através dos sentidos.</w:t>
      </w:r>
      <w:r w:rsidR="000804D0" w:rsidRPr="00741F42">
        <w:rPr>
          <w:rFonts w:ascii="Book Antiqua" w:hAnsi="Book Antiqua"/>
          <w:sz w:val="26"/>
          <w:szCs w:val="26"/>
        </w:rPr>
        <w:t>”</w:t>
      </w:r>
      <w:r w:rsidR="008B1D4C" w:rsidRPr="00741F42">
        <w:rPr>
          <w:rStyle w:val="Refdenotaderodap"/>
          <w:rFonts w:ascii="Book Antiqua" w:hAnsi="Book Antiqua"/>
          <w:color w:val="0000FF"/>
          <w:sz w:val="26"/>
          <w:szCs w:val="26"/>
        </w:rPr>
        <w:footnoteReference w:id="8"/>
      </w:r>
    </w:p>
    <w:p w:rsidR="000804D0" w:rsidRPr="00741F42" w:rsidRDefault="000804D0" w:rsidP="00741F42">
      <w:pPr>
        <w:widowControl w:val="0"/>
        <w:autoSpaceDE w:val="0"/>
        <w:autoSpaceDN w:val="0"/>
        <w:spacing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 w:rsidRPr="00741F42">
        <w:rPr>
          <w:rFonts w:ascii="Book Antiqua" w:hAnsi="Book Antiqua"/>
          <w:sz w:val="26"/>
          <w:szCs w:val="26"/>
        </w:rPr>
        <w:t xml:space="preserve">Novamente, por mais que o homem tenda a ignorar o fato de que o sofrimento, físico e mental é inevitável no plano sensório e mergulhe completamente nele, um dia chegará quando ele perguntará </w:t>
      </w:r>
      <w:r w:rsidR="008E678A" w:rsidRPr="00741F42">
        <w:rPr>
          <w:rFonts w:ascii="Book Antiqua" w:hAnsi="Book Antiqua"/>
          <w:sz w:val="26"/>
          <w:szCs w:val="26"/>
        </w:rPr>
        <w:t>a</w:t>
      </w:r>
      <w:r w:rsidRPr="00741F42">
        <w:rPr>
          <w:rFonts w:ascii="Book Antiqua" w:hAnsi="Book Antiqua"/>
          <w:sz w:val="26"/>
          <w:szCs w:val="26"/>
        </w:rPr>
        <w:t xml:space="preserve"> si mesmo: “É isto tudo? Será a meta da vida viver como plantas e animais por alguns anos e morrer?” Isto é um imperativo, pois enquanto o homem retiver a faculdade do raciocínio, ele não pode deixar de colocar estas questões para si mesmo quando deparar com terríveis e insuperáveis circunstâncias. E este raciocínio deveria levá-lo a auto</w:t>
      </w:r>
      <w:r w:rsidR="00142764" w:rsidRPr="00741F42">
        <w:rPr>
          <w:rFonts w:ascii="Book Antiqua" w:hAnsi="Book Antiqua"/>
          <w:sz w:val="26"/>
          <w:szCs w:val="26"/>
        </w:rPr>
        <w:t>-aná</w:t>
      </w:r>
      <w:r w:rsidRPr="00741F42">
        <w:rPr>
          <w:rFonts w:ascii="Book Antiqua" w:hAnsi="Book Antiqua"/>
          <w:sz w:val="26"/>
          <w:szCs w:val="26"/>
        </w:rPr>
        <w:t xml:space="preserve">lise </w:t>
      </w:r>
      <w:r w:rsidR="00142764" w:rsidRPr="00741F42">
        <w:rPr>
          <w:rFonts w:ascii="Book Antiqua" w:hAnsi="Book Antiqua"/>
          <w:sz w:val="26"/>
          <w:szCs w:val="26"/>
        </w:rPr>
        <w:t>e gradualmente à Religião, pois tendo sofrido no plano dos sentidos ele não tem outra alternativa além de tentar conseguir consolo de algo superior e não perecível.</w:t>
      </w:r>
    </w:p>
    <w:p w:rsidR="00142764" w:rsidRPr="00741F42" w:rsidRDefault="00142764" w:rsidP="00741F42">
      <w:pPr>
        <w:widowControl w:val="0"/>
        <w:autoSpaceDE w:val="0"/>
        <w:autoSpaceDN w:val="0"/>
        <w:spacing w:line="264" w:lineRule="auto"/>
        <w:ind w:firstLine="851"/>
        <w:jc w:val="both"/>
        <w:rPr>
          <w:rFonts w:ascii="Book Antiqua" w:hAnsi="Book Antiqua"/>
          <w:color w:val="0000FF"/>
          <w:sz w:val="26"/>
          <w:szCs w:val="26"/>
        </w:rPr>
      </w:pPr>
      <w:r w:rsidRPr="00741F42">
        <w:rPr>
          <w:rFonts w:ascii="Book Antiqua" w:hAnsi="Book Antiqua"/>
          <w:sz w:val="26"/>
          <w:szCs w:val="26"/>
        </w:rPr>
        <w:t>Agora vamos ver o que a Religião realmente significa e o que ela pode fazer por nós. Religião é um sistema de disciplinas que traz uma penetração intuitiva na natureza real do mundo espiritual, pelo controle dos sentidos e a conquista da mente. Com esta penetração intuitiva, nós chegamos a conhecer o propósito real da vida humana, como também sobre a vacuidade do mundo sensual. Swami Vivekananda afirma: “Este nosso universo, o universo dos sentidos, racional, inte</w:t>
      </w:r>
      <w:r w:rsidR="00391D39" w:rsidRPr="00741F42">
        <w:rPr>
          <w:rFonts w:ascii="Book Antiqua" w:hAnsi="Book Antiqua"/>
          <w:sz w:val="26"/>
          <w:szCs w:val="26"/>
        </w:rPr>
        <w:t>le</w:t>
      </w:r>
      <w:r w:rsidRPr="00741F42">
        <w:rPr>
          <w:rFonts w:ascii="Book Antiqua" w:hAnsi="Book Antiqua"/>
          <w:sz w:val="26"/>
          <w:szCs w:val="26"/>
        </w:rPr>
        <w:t>ctual, está cercado de ambos os lados pelo ilimitado</w:t>
      </w:r>
      <w:r w:rsidR="00391D39" w:rsidRPr="00741F42">
        <w:rPr>
          <w:rFonts w:ascii="Book Antiqua" w:hAnsi="Book Antiqua"/>
          <w:sz w:val="26"/>
          <w:szCs w:val="26"/>
        </w:rPr>
        <w:t xml:space="preserve">, o não-conhecível, o sempre desconhecido. Nisto está a busca, nisto estão as investigações, aqui estão os fatos; disto vem a luz que é conhecida para o mundo como religião. A Religião pertence ao Supra-sensório e não ao plano sensório. Está além de todo raciocínio e não está no plano do intelecto. É uma visão, uma inspiração, um mergulho no desconhecido e não-conhecível, fazendo o não-conhecível mais do que conhecido, pois ele jamais poderá ser </w:t>
      </w:r>
      <w:r w:rsidR="00391D39" w:rsidRPr="00741F42">
        <w:rPr>
          <w:rFonts w:ascii="Book Antiqua" w:hAnsi="Book Antiqua"/>
          <w:i/>
          <w:sz w:val="26"/>
          <w:szCs w:val="26"/>
        </w:rPr>
        <w:t>conhecido</w:t>
      </w:r>
      <w:r w:rsidR="00391D39" w:rsidRPr="00741F42">
        <w:rPr>
          <w:rFonts w:ascii="Book Antiqua" w:hAnsi="Book Antiqua"/>
          <w:sz w:val="26"/>
          <w:szCs w:val="26"/>
        </w:rPr>
        <w:t>.”</w:t>
      </w:r>
      <w:r w:rsidR="008B1D4C" w:rsidRPr="00741F42">
        <w:rPr>
          <w:rStyle w:val="Refdenotaderodap"/>
          <w:rFonts w:ascii="Book Antiqua" w:hAnsi="Book Antiqua"/>
          <w:color w:val="0000FF"/>
          <w:sz w:val="26"/>
          <w:szCs w:val="26"/>
        </w:rPr>
        <w:footnoteReference w:id="9"/>
      </w:r>
      <w:r w:rsidR="008B1D4C" w:rsidRPr="00741F42">
        <w:rPr>
          <w:rFonts w:ascii="Book Antiqua" w:hAnsi="Book Antiqua"/>
          <w:color w:val="0000FF"/>
          <w:sz w:val="26"/>
          <w:szCs w:val="26"/>
        </w:rPr>
        <w:t xml:space="preserve"> </w:t>
      </w:r>
      <w:r w:rsidR="00391D39" w:rsidRPr="00741F42">
        <w:rPr>
          <w:rFonts w:ascii="Book Antiqua" w:hAnsi="Book Antiqua"/>
          <w:sz w:val="26"/>
          <w:szCs w:val="26"/>
        </w:rPr>
        <w:t>Isto parece ser</w:t>
      </w:r>
      <w:r w:rsidR="00391D39" w:rsidRPr="00741F42">
        <w:rPr>
          <w:rFonts w:ascii="Book Antiqua" w:hAnsi="Book Antiqua"/>
          <w:color w:val="0000FF"/>
          <w:sz w:val="26"/>
          <w:szCs w:val="26"/>
        </w:rPr>
        <w:t xml:space="preserve"> </w:t>
      </w:r>
      <w:r w:rsidR="00391D39" w:rsidRPr="00741F42">
        <w:rPr>
          <w:rFonts w:ascii="Book Antiqua" w:hAnsi="Book Antiqua"/>
          <w:sz w:val="26"/>
          <w:szCs w:val="26"/>
        </w:rPr>
        <w:t>um paradoxo, à uma primeira leitura, mas se nós pararmos e refletirmos, poderemos ser capazes de compreender a verdade por detr</w:t>
      </w:r>
      <w:r w:rsidR="00A12B92" w:rsidRPr="00741F42">
        <w:rPr>
          <w:rFonts w:ascii="Book Antiqua" w:hAnsi="Book Antiqua"/>
          <w:sz w:val="26"/>
          <w:szCs w:val="26"/>
        </w:rPr>
        <w:t>ás</w:t>
      </w:r>
      <w:r w:rsidR="00391D39" w:rsidRPr="00741F42">
        <w:rPr>
          <w:rFonts w:ascii="Book Antiqua" w:hAnsi="Book Antiqua"/>
          <w:sz w:val="26"/>
          <w:szCs w:val="26"/>
        </w:rPr>
        <w:t xml:space="preserve"> desta afirmação.</w:t>
      </w:r>
      <w:r w:rsidR="00074C7D" w:rsidRPr="00741F42">
        <w:rPr>
          <w:rFonts w:ascii="Book Antiqua" w:hAnsi="Book Antiqua"/>
          <w:sz w:val="26"/>
          <w:szCs w:val="26"/>
        </w:rPr>
        <w:t xml:space="preserve"> A mente humana em sua forma impura pode conhecer apenas coisas apresentadas a ela pelos cinco sentidos e nada mais. É por isso que o Espírito é chamado de não-conhecível; mas quando esta mesma mente se livra de sua impureza, seu apego e desejos, ela é capaz de perceber o não-conhecível, fazendo-o mais do que conhecido.</w:t>
      </w:r>
      <w:r w:rsidR="00380D0C" w:rsidRPr="00741F42">
        <w:rPr>
          <w:rFonts w:ascii="Book Antiqua" w:hAnsi="Book Antiqua"/>
          <w:sz w:val="26"/>
          <w:szCs w:val="26"/>
        </w:rPr>
        <w:t xml:space="preserve"> Pergunta Yajnavalkya: “Com o </w:t>
      </w:r>
      <w:r w:rsidR="00380D0C" w:rsidRPr="00741F42">
        <w:rPr>
          <w:rFonts w:ascii="Book Antiqua" w:hAnsi="Book Antiqua"/>
          <w:sz w:val="26"/>
          <w:szCs w:val="26"/>
        </w:rPr>
        <w:lastRenderedPageBreak/>
        <w:t>quê você conhecerá o Conhecedor”</w:t>
      </w:r>
      <w:r w:rsidR="00C636F1" w:rsidRPr="00741F42">
        <w:rPr>
          <w:rFonts w:ascii="Book Antiqua" w:hAnsi="Book Antiqua"/>
          <w:sz w:val="26"/>
          <w:szCs w:val="26"/>
        </w:rPr>
        <w:t xml:space="preserve">- </w:t>
      </w:r>
      <w:r w:rsidR="00C636F1" w:rsidRPr="00741F42">
        <w:rPr>
          <w:rFonts w:ascii="Book Antiqua" w:hAnsi="Book Antiqua"/>
          <w:i/>
          <w:sz w:val="26"/>
          <w:szCs w:val="26"/>
        </w:rPr>
        <w:t>vijnataram are kena vijaniyat</w:t>
      </w:r>
      <w:r w:rsidR="00C636F1" w:rsidRPr="00741F42">
        <w:rPr>
          <w:rFonts w:ascii="Book Antiqua" w:hAnsi="Book Antiqua"/>
          <w:sz w:val="26"/>
          <w:szCs w:val="26"/>
        </w:rPr>
        <w:t xml:space="preserve">. Este desconhecido pode ser percebido somente através de uma </w:t>
      </w:r>
      <w:r w:rsidR="006A32ED" w:rsidRPr="00741F42">
        <w:rPr>
          <w:rFonts w:ascii="Book Antiqua" w:hAnsi="Book Antiqua"/>
          <w:sz w:val="26"/>
          <w:szCs w:val="26"/>
        </w:rPr>
        <w:t>mente pura, afirma o K</w:t>
      </w:r>
      <w:r w:rsidR="00C636F1" w:rsidRPr="00741F42">
        <w:rPr>
          <w:rFonts w:ascii="Book Antiqua" w:hAnsi="Book Antiqua"/>
          <w:sz w:val="26"/>
          <w:szCs w:val="26"/>
        </w:rPr>
        <w:t>athopanishad</w:t>
      </w:r>
      <w:r w:rsidR="00C636F1" w:rsidRPr="00741F42">
        <w:rPr>
          <w:rFonts w:ascii="Book Antiqua" w:hAnsi="Book Antiqua"/>
          <w:i/>
          <w:sz w:val="26"/>
          <w:szCs w:val="26"/>
        </w:rPr>
        <w:t xml:space="preserve">: manasaivedam aptavyam, </w:t>
      </w:r>
      <w:r w:rsidR="00C636F1" w:rsidRPr="00741F42">
        <w:rPr>
          <w:rFonts w:ascii="Book Antiqua" w:hAnsi="Book Antiqua"/>
          <w:sz w:val="26"/>
          <w:szCs w:val="26"/>
        </w:rPr>
        <w:t>“Somente pela mente isto será realizado.”</w:t>
      </w:r>
      <w:r w:rsidR="008B1D4C" w:rsidRPr="00741F42">
        <w:rPr>
          <w:rStyle w:val="Refdenotaderodap"/>
          <w:rFonts w:ascii="Book Antiqua" w:hAnsi="Book Antiqua"/>
          <w:color w:val="0000FF"/>
          <w:sz w:val="26"/>
          <w:szCs w:val="26"/>
        </w:rPr>
        <w:footnoteReference w:id="10"/>
      </w:r>
    </w:p>
    <w:p w:rsidR="00C636F1" w:rsidRPr="00741F42" w:rsidRDefault="00C636F1" w:rsidP="00741F42">
      <w:pPr>
        <w:widowControl w:val="0"/>
        <w:autoSpaceDE w:val="0"/>
        <w:autoSpaceDN w:val="0"/>
        <w:spacing w:line="264" w:lineRule="auto"/>
        <w:ind w:firstLine="851"/>
        <w:jc w:val="both"/>
        <w:rPr>
          <w:rStyle w:val="Refdenotaderodap"/>
          <w:rFonts w:ascii="Book Antiqua" w:hAnsi="Book Antiqua"/>
          <w:sz w:val="26"/>
          <w:szCs w:val="26"/>
        </w:rPr>
      </w:pPr>
      <w:r w:rsidRPr="00741F42">
        <w:rPr>
          <w:rFonts w:ascii="Book Antiqua" w:hAnsi="Book Antiqua"/>
          <w:sz w:val="26"/>
          <w:szCs w:val="26"/>
        </w:rPr>
        <w:t>O melhor testemunho com relação à vida interior é daqueles que mergulharam profundamente nela e eles são os homens capazes de falar sobre o assunto. Vamos ver o que Swami Vivekananda diz sobre a necessidade desta busca</w:t>
      </w:r>
      <w:r w:rsidR="00861D61" w:rsidRPr="00741F42">
        <w:rPr>
          <w:rFonts w:ascii="Book Antiqua" w:hAnsi="Book Antiqua"/>
          <w:sz w:val="26"/>
          <w:szCs w:val="26"/>
        </w:rPr>
        <w:t xml:space="preserve"> </w:t>
      </w:r>
      <w:r w:rsidR="00AE3399" w:rsidRPr="00741F42">
        <w:rPr>
          <w:rFonts w:ascii="Book Antiqua" w:hAnsi="Book Antiqua"/>
          <w:sz w:val="26"/>
          <w:szCs w:val="26"/>
        </w:rPr>
        <w:t xml:space="preserve">do que está além: “A vida será um deserto, a vida humana será em vão, se nós não pudermos conhecer o que está além. É muito bom dizer: Contente-se com as coisas do presente. As vacas e os cães estão e estão também todos os animais e isto é o que os faz animais. Portanto se o homem </w:t>
      </w:r>
      <w:r w:rsidR="00741F42" w:rsidRPr="00741F42">
        <w:rPr>
          <w:rFonts w:ascii="Book Antiqua" w:hAnsi="Book Antiqua"/>
          <w:sz w:val="26"/>
          <w:szCs w:val="26"/>
        </w:rPr>
        <w:t>se contenta</w:t>
      </w:r>
      <w:r w:rsidR="00AE3399" w:rsidRPr="00741F42">
        <w:rPr>
          <w:rFonts w:ascii="Book Antiqua" w:hAnsi="Book Antiqua"/>
          <w:sz w:val="26"/>
          <w:szCs w:val="26"/>
        </w:rPr>
        <w:t xml:space="preserve"> com o presente e abandona toda busca do que está além, a humanidade terá que voltar ao plano animal de novo. É a religião, a investigação do que está além que faz a diferença entre um homem e um animal.”</w:t>
      </w:r>
      <w:r w:rsidR="008B1D4C" w:rsidRPr="00741F42">
        <w:rPr>
          <w:rStyle w:val="Refdenotaderodap"/>
          <w:rFonts w:ascii="Book Antiqua" w:hAnsi="Book Antiqua"/>
          <w:color w:val="0000FF"/>
          <w:sz w:val="26"/>
          <w:szCs w:val="26"/>
        </w:rPr>
        <w:footnoteReference w:id="11"/>
      </w:r>
      <w:r w:rsidR="003C47C8" w:rsidRPr="00741F42">
        <w:rPr>
          <w:rFonts w:ascii="Book Antiqua" w:hAnsi="Book Antiqua"/>
          <w:color w:val="0000FF"/>
          <w:sz w:val="26"/>
          <w:szCs w:val="26"/>
        </w:rPr>
        <w:t xml:space="preserve"> </w:t>
      </w:r>
      <w:r w:rsidR="003C47C8" w:rsidRPr="00741F42">
        <w:rPr>
          <w:rFonts w:ascii="Book Antiqua" w:hAnsi="Book Antiqua"/>
          <w:sz w:val="26"/>
          <w:szCs w:val="26"/>
        </w:rPr>
        <w:t xml:space="preserve">Respondendo à uma pergunta sobre o que a religião pode fazer por nós, ele afirma: “A salvação não consiste na quantidade de dinheiro que </w:t>
      </w:r>
      <w:r w:rsidR="00861D61" w:rsidRPr="00741F42">
        <w:rPr>
          <w:rFonts w:ascii="Book Antiqua" w:hAnsi="Book Antiqua"/>
          <w:sz w:val="26"/>
          <w:szCs w:val="26"/>
        </w:rPr>
        <w:t xml:space="preserve">está </w:t>
      </w:r>
      <w:r w:rsidR="003C47C8" w:rsidRPr="00741F42">
        <w:rPr>
          <w:rFonts w:ascii="Book Antiqua" w:hAnsi="Book Antiqua"/>
          <w:sz w:val="26"/>
          <w:szCs w:val="26"/>
        </w:rPr>
        <w:t>em seu bolso ou na roupa que você veste ou na casa em que você vive, mas na riqueza do pensamento espiritual em seu cérebro. Isto é o que promove o progresso humano, esta é a fonte de todo progresso material e intelectual, o poder motivador atrás do entusiasmo que empurra a humanidade para a frente.”</w:t>
      </w:r>
      <w:r w:rsidR="008B1D4C" w:rsidRPr="00741F42">
        <w:rPr>
          <w:rStyle w:val="Refdenotaderodap"/>
          <w:rFonts w:ascii="Book Antiqua" w:hAnsi="Book Antiqua"/>
          <w:color w:val="0000FF"/>
          <w:sz w:val="26"/>
          <w:szCs w:val="26"/>
        </w:rPr>
        <w:footnoteReference w:id="12"/>
      </w:r>
    </w:p>
    <w:p w:rsidR="00C23719" w:rsidRPr="00741F42" w:rsidRDefault="00C23719" w:rsidP="00741F42">
      <w:pPr>
        <w:widowControl w:val="0"/>
        <w:autoSpaceDE w:val="0"/>
        <w:autoSpaceDN w:val="0"/>
        <w:spacing w:line="264" w:lineRule="auto"/>
        <w:ind w:firstLine="851"/>
        <w:jc w:val="both"/>
        <w:rPr>
          <w:rFonts w:ascii="Book Antiqua" w:hAnsi="Book Antiqua"/>
          <w:color w:val="0000FF"/>
          <w:sz w:val="26"/>
          <w:szCs w:val="26"/>
        </w:rPr>
      </w:pPr>
      <w:r w:rsidRPr="00741F42">
        <w:rPr>
          <w:rFonts w:ascii="Book Antiqua" w:hAnsi="Book Antiqua"/>
          <w:sz w:val="26"/>
          <w:szCs w:val="26"/>
        </w:rPr>
        <w:t>Além disto, a Religião pode nos dar a vida eterna, trazer-nos a Luz que jamais falha e a paz e tranqüilidade constantes. Contudo a religião não deveria ser julgada do ponto de vista das posses ou coisas materiais. Swami Vivekananda comenta: “Várias vezes você escuta esta objeção levantada: ‘Pode ela retirar a pobreza dos pobres?’ Suponha que ela não possa, isto provaria a inverdade da religião? Suponha que uma criança se levante entre vocês quando você está tentando demonstrar um teorema astronômico e diz, ‘Isto vai me dar biscoitos de gengibre?’ ‘Não, isto não vai dar’, você responde. ‘Então’, diz a criança, ‘não serve para nada’. Crianças julgam o universo inteiro de seu ponto de vista, de produzir biscoitos de gengibre; e assim também fazem as crianças do mundo. Nós não devemos julgar as coisas superiores de um baixo ponto de vista... A Religião interpenetra toda a vida do homem, não apenas o presente, mas o passado, presente e futuro... É lógico medir seu valor por sua ação sobre cinco minutos da vida humana?”</w:t>
      </w:r>
      <w:r w:rsidR="008B1D4C" w:rsidRPr="00741F42">
        <w:rPr>
          <w:rStyle w:val="Refdenotaderodap"/>
          <w:rFonts w:ascii="Book Antiqua" w:hAnsi="Book Antiqua"/>
          <w:color w:val="0000FF"/>
          <w:sz w:val="26"/>
          <w:szCs w:val="26"/>
        </w:rPr>
        <w:footnoteReference w:id="13"/>
      </w:r>
      <w:r w:rsidRPr="00741F42">
        <w:rPr>
          <w:rStyle w:val="Refdenotaderodap"/>
          <w:rFonts w:ascii="Book Antiqua" w:hAnsi="Book Antiqua"/>
          <w:color w:val="0000FF"/>
          <w:sz w:val="26"/>
          <w:szCs w:val="26"/>
        </w:rPr>
        <w:t xml:space="preserve"> </w:t>
      </w:r>
      <w:r w:rsidRPr="00741F42">
        <w:rPr>
          <w:rFonts w:ascii="Book Antiqua" w:hAnsi="Book Antiqua"/>
          <w:sz w:val="26"/>
          <w:szCs w:val="26"/>
        </w:rPr>
        <w:t>Ele continua: “A Religião fez do homem o que ele é e fará deste humano animal</w:t>
      </w:r>
      <w:r w:rsidR="00334FCE">
        <w:rPr>
          <w:rFonts w:ascii="Book Antiqua" w:hAnsi="Book Antiqua"/>
          <w:sz w:val="26"/>
          <w:szCs w:val="26"/>
        </w:rPr>
        <w:t>,</w:t>
      </w:r>
      <w:r w:rsidRPr="00741F42">
        <w:rPr>
          <w:rFonts w:ascii="Book Antiqua" w:hAnsi="Book Antiqua"/>
          <w:sz w:val="26"/>
          <w:szCs w:val="26"/>
        </w:rPr>
        <w:t xml:space="preserve"> um Deus. Isto é o que a religião pode </w:t>
      </w:r>
      <w:r w:rsidRPr="00741F42">
        <w:rPr>
          <w:rFonts w:ascii="Book Antiqua" w:hAnsi="Book Antiqua"/>
          <w:sz w:val="26"/>
          <w:szCs w:val="26"/>
        </w:rPr>
        <w:lastRenderedPageBreak/>
        <w:t>fazer. Tire a religião da sociedade humana e o que restará? Nada além de uma floresta de brutos.”</w:t>
      </w:r>
      <w:r w:rsidR="008B1D4C" w:rsidRPr="00741F42">
        <w:rPr>
          <w:rStyle w:val="Refdenotaderodap"/>
          <w:rFonts w:ascii="Book Antiqua" w:hAnsi="Book Antiqua"/>
          <w:color w:val="0000FF"/>
          <w:sz w:val="26"/>
          <w:szCs w:val="26"/>
        </w:rPr>
        <w:footnoteReference w:id="14"/>
      </w:r>
    </w:p>
    <w:p w:rsidR="00FA5B7D" w:rsidRDefault="00FA5B7D" w:rsidP="00741F42">
      <w:pPr>
        <w:widowControl w:val="0"/>
        <w:autoSpaceDE w:val="0"/>
        <w:autoSpaceDN w:val="0"/>
        <w:spacing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 w:rsidRPr="00741F42">
        <w:rPr>
          <w:rFonts w:ascii="Book Antiqua" w:hAnsi="Book Antiqua"/>
          <w:sz w:val="26"/>
          <w:szCs w:val="26"/>
        </w:rPr>
        <w:t xml:space="preserve">Do que foi dito nós vemos como a religião está inerentemente absorvida na estrutura da existência humana, mais ainda, a própria existência do homem depende dela. E é por isso que o Senhor se encarna sempre que houver o declínio de Dharma e o crescimento de Adharma, como Ele mesmo diz no Bhagavad Gita. Agora nós veremos quais são as disciplinas que a religião recomenda para atingir o supremo estado da Eterna Bem-aventurança que ela promete. A primeira e mais importante destas disciplinas é a renúncia, sem ela o homem não pode avançar em direção à meta. Pode-se perguntar: são todas as pessoas capazes de renunciar ao mundo? Certamente que não. Então a salvação que a religião promete é para uns poucos? Se for assim, por que deveria a maioria da humanidade ter interesse nela? Sri Ramakrishna responde: </w:t>
      </w:r>
      <w:r w:rsidR="00FD66E8" w:rsidRPr="00741F42">
        <w:rPr>
          <w:rFonts w:ascii="Book Antiqua" w:hAnsi="Book Antiqua"/>
          <w:sz w:val="26"/>
          <w:szCs w:val="26"/>
        </w:rPr>
        <w:t>“N</w:t>
      </w:r>
      <w:r w:rsidRPr="00741F42">
        <w:rPr>
          <w:rFonts w:ascii="Book Antiqua" w:hAnsi="Book Antiqua"/>
          <w:sz w:val="26"/>
          <w:szCs w:val="26"/>
        </w:rPr>
        <w:t xml:space="preserve">ão é possível adquirir a renúncia de forma repentina. O fator tempo deve ser levado </w:t>
      </w:r>
      <w:smartTag w:uri="urn:schemas-microsoft-com:office:smarttags" w:element="PersonName">
        <w:smartTagPr>
          <w:attr w:name="ProductID" w:val="em considera￧￣o. Mas"/>
        </w:smartTagPr>
        <w:r w:rsidRPr="00741F42">
          <w:rPr>
            <w:rFonts w:ascii="Book Antiqua" w:hAnsi="Book Antiqua"/>
            <w:sz w:val="26"/>
            <w:szCs w:val="26"/>
          </w:rPr>
          <w:t>em consideração. Mas</w:t>
        </w:r>
      </w:smartTag>
      <w:r w:rsidRPr="00741F42">
        <w:rPr>
          <w:rFonts w:ascii="Book Antiqua" w:hAnsi="Book Antiqua"/>
          <w:sz w:val="26"/>
          <w:szCs w:val="26"/>
        </w:rPr>
        <w:t xml:space="preserve"> também é verdade que um homem deveria escutar sobre ela. Quando a hora certa chegar, ele dirá a si mesmo: ‘Ó, sim, eu escutei sobre isto.’ Você deve também se lembrar de outra coisa. Constantemente ouvindo sobre a renúncia, o desejo pelos objetos do mundo gradualmente se desvanece”.</w:t>
      </w:r>
      <w:r w:rsidR="008B1D4C" w:rsidRPr="00741F42">
        <w:rPr>
          <w:rStyle w:val="Refdenotaderodap"/>
          <w:rFonts w:ascii="Book Antiqua" w:hAnsi="Book Antiqua"/>
          <w:sz w:val="26"/>
          <w:szCs w:val="26"/>
        </w:rPr>
        <w:footnoteReference w:id="15"/>
      </w:r>
      <w:r w:rsidRPr="00741F42">
        <w:rPr>
          <w:rFonts w:ascii="Book Antiqua" w:hAnsi="Book Antiqua"/>
          <w:sz w:val="26"/>
          <w:szCs w:val="26"/>
        </w:rPr>
        <w:t xml:space="preserve"> Sri Ramakrishna aconselha aos chefes de família a cultivarem a renúncia interna e amor por Deus, a serem desapegados </w:t>
      </w:r>
      <w:r w:rsidR="00861D61" w:rsidRPr="00741F42">
        <w:rPr>
          <w:rFonts w:ascii="Book Antiqua" w:hAnsi="Book Antiqua"/>
          <w:sz w:val="26"/>
          <w:szCs w:val="26"/>
        </w:rPr>
        <w:t>pel</w:t>
      </w:r>
      <w:r w:rsidRPr="00741F42">
        <w:rPr>
          <w:rFonts w:ascii="Book Antiqua" w:hAnsi="Book Antiqua"/>
          <w:sz w:val="26"/>
          <w:szCs w:val="26"/>
        </w:rPr>
        <w:t>as coisas do mundo e a buscarem a companhia de pessoas santas. Mas ele categoricamente diz que sem a renúncia, pelo menos a interna, não se pode atingir a Meta.</w:t>
      </w:r>
    </w:p>
    <w:p w:rsidR="00741F42" w:rsidRDefault="00741F42" w:rsidP="00741F42">
      <w:pPr>
        <w:widowControl w:val="0"/>
        <w:autoSpaceDE w:val="0"/>
        <w:autoSpaceDN w:val="0"/>
        <w:spacing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:rsidR="00741F42" w:rsidRPr="00741F42" w:rsidRDefault="00741F42" w:rsidP="00741F42">
      <w:pPr>
        <w:widowControl w:val="0"/>
        <w:autoSpaceDE w:val="0"/>
        <w:autoSpaceDN w:val="0"/>
        <w:spacing w:line="264" w:lineRule="auto"/>
        <w:jc w:val="center"/>
        <w:rPr>
          <w:rFonts w:ascii="Book Antiqua" w:hAnsi="Book Antiqua"/>
          <w:sz w:val="32"/>
          <w:szCs w:val="32"/>
        </w:rPr>
      </w:pPr>
      <w:r w:rsidRPr="00741F42">
        <w:rPr>
          <w:rFonts w:ascii="Book Antiqua" w:hAnsi="Book Antiqua"/>
          <w:sz w:val="32"/>
          <w:szCs w:val="32"/>
        </w:rPr>
        <w:sym w:font="Wingdings" w:char="F05C"/>
      </w:r>
    </w:p>
    <w:p w:rsidR="000804D0" w:rsidRPr="006F0E3D" w:rsidRDefault="000804D0">
      <w:pPr>
        <w:widowControl w:val="0"/>
        <w:autoSpaceDE w:val="0"/>
        <w:autoSpaceDN w:val="0"/>
        <w:ind w:firstLine="720"/>
        <w:jc w:val="both"/>
        <w:rPr>
          <w:rFonts w:ascii="Verdana" w:hAnsi="Verdana"/>
          <w:sz w:val="24"/>
          <w:szCs w:val="24"/>
        </w:rPr>
      </w:pPr>
    </w:p>
    <w:p w:rsidR="00E539DF" w:rsidRPr="006F0E3D" w:rsidRDefault="00E539DF">
      <w:pPr>
        <w:widowControl w:val="0"/>
        <w:autoSpaceDE w:val="0"/>
        <w:autoSpaceDN w:val="0"/>
        <w:ind w:firstLine="720"/>
        <w:jc w:val="both"/>
        <w:rPr>
          <w:rFonts w:ascii="Verdana" w:hAnsi="Verdana"/>
          <w:sz w:val="24"/>
          <w:szCs w:val="24"/>
        </w:rPr>
      </w:pPr>
    </w:p>
    <w:sectPr w:rsidR="00E539DF" w:rsidRPr="006F0E3D" w:rsidSect="00741F42">
      <w:footerReference w:type="even" r:id="rId6"/>
      <w:footerReference w:type="default" r:id="rId7"/>
      <w:pgSz w:w="11907" w:h="16840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BF0" w:rsidRDefault="00C46BF0">
      <w:r>
        <w:separator/>
      </w:r>
    </w:p>
  </w:endnote>
  <w:endnote w:type="continuationSeparator" w:id="0">
    <w:p w:rsidR="00C46BF0" w:rsidRDefault="00C4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2FA" w:rsidRDefault="001D62FA" w:rsidP="00E84822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D62FA" w:rsidRDefault="001D62F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2FA" w:rsidRDefault="001D62FA" w:rsidP="00E84822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1D62FA" w:rsidRDefault="001D62F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BF0" w:rsidRDefault="00C46BF0">
      <w:r>
        <w:separator/>
      </w:r>
    </w:p>
  </w:footnote>
  <w:footnote w:type="continuationSeparator" w:id="0">
    <w:p w:rsidR="00C46BF0" w:rsidRDefault="00C46BF0">
      <w:r>
        <w:continuationSeparator/>
      </w:r>
    </w:p>
  </w:footnote>
  <w:footnote w:id="1">
    <w:p w:rsidR="002C019E" w:rsidRDefault="002C019E">
      <w:pPr>
        <w:pStyle w:val="Textodenotaderodap"/>
      </w:pPr>
      <w:r>
        <w:rPr>
          <w:rStyle w:val="Refdenotaderodap"/>
        </w:rPr>
        <w:footnoteRef/>
      </w:r>
      <w:r>
        <w:t xml:space="preserve"> O Swami foi dirigente espiritual do Ramakrishna Ashrama, Buenos Aires, Argentina de 1973 a 1988.</w:t>
      </w:r>
    </w:p>
  </w:footnote>
  <w:footnote w:id="2">
    <w:p w:rsidR="002C019E" w:rsidRDefault="002C019E" w:rsidP="005577F7">
      <w:pPr>
        <w:pStyle w:val="Textodenotaderodap"/>
      </w:pPr>
      <w:r>
        <w:rPr>
          <w:rStyle w:val="Refdenotaderodap"/>
        </w:rPr>
        <w:footnoteRef/>
      </w:r>
      <w:r>
        <w:t xml:space="preserve"> O Swami foi Editor da revista em inglês Vedanta Kesari de 1962 a 1967. </w:t>
      </w:r>
    </w:p>
    <w:p w:rsidR="002C019E" w:rsidRDefault="002C019E">
      <w:pPr>
        <w:pStyle w:val="Textodenotaderodap"/>
      </w:pPr>
    </w:p>
  </w:footnote>
  <w:footnote w:id="3">
    <w:p w:rsidR="002C019E" w:rsidRDefault="002C019E" w:rsidP="00741F42">
      <w:pPr>
        <w:pStyle w:val="Textodenotadefim"/>
      </w:pPr>
      <w:r>
        <w:rPr>
          <w:rStyle w:val="Refdenotaderodap"/>
        </w:rPr>
        <w:footnoteRef/>
      </w:r>
      <w:r>
        <w:t xml:space="preserve"> Vairagya Sataka, 7.</w:t>
      </w:r>
    </w:p>
  </w:footnote>
  <w:footnote w:id="4">
    <w:p w:rsidR="002C019E" w:rsidRDefault="002C019E" w:rsidP="00861D61">
      <w:pPr>
        <w:pStyle w:val="Textodenotaderodap"/>
      </w:pPr>
      <w:r>
        <w:rPr>
          <w:rStyle w:val="Refdenotaderodap"/>
        </w:rPr>
        <w:footnoteRef/>
      </w:r>
      <w:r>
        <w:t xml:space="preserve"> Ibid.</w:t>
      </w:r>
    </w:p>
  </w:footnote>
  <w:footnote w:id="5">
    <w:p w:rsidR="002C019E" w:rsidRDefault="002C019E" w:rsidP="00861D61">
      <w:pPr>
        <w:pStyle w:val="Textodenotaderodap"/>
      </w:pPr>
      <w:r>
        <w:rPr>
          <w:rStyle w:val="Refdenotaderodap"/>
        </w:rPr>
        <w:footnoteRef/>
      </w:r>
      <w:r>
        <w:t xml:space="preserve"> IBID. 8.</w:t>
      </w:r>
    </w:p>
  </w:footnote>
  <w:footnote w:id="6">
    <w:p w:rsidR="002C019E" w:rsidRPr="00741F42" w:rsidRDefault="002C019E" w:rsidP="00741F42">
      <w:pPr>
        <w:pStyle w:val="Textodenotadefim"/>
        <w:rPr>
          <w:lang w:val="en-US"/>
        </w:rPr>
      </w:pPr>
      <w:r>
        <w:rPr>
          <w:rStyle w:val="Refdenotaderodap"/>
        </w:rPr>
        <w:footnoteRef/>
      </w:r>
      <w:r>
        <w:t xml:space="preserve"> </w:t>
      </w:r>
      <w:r w:rsidRPr="00C636F1">
        <w:rPr>
          <w:lang w:val="en-US"/>
        </w:rPr>
        <w:t>Kathopanishad, II.6.</w:t>
      </w:r>
    </w:p>
  </w:footnote>
  <w:footnote w:id="7">
    <w:p w:rsidR="002C019E" w:rsidRDefault="002C019E" w:rsidP="00861D61">
      <w:pPr>
        <w:pStyle w:val="Textodenotadefim"/>
        <w:rPr>
          <w:lang w:val="en-US"/>
        </w:rPr>
      </w:pPr>
      <w:r>
        <w:rPr>
          <w:rStyle w:val="Refdenotaderodap"/>
        </w:rPr>
        <w:footnoteRef/>
      </w:r>
      <w:r>
        <w:t xml:space="preserve"> </w:t>
      </w:r>
      <w:r>
        <w:rPr>
          <w:lang w:val="en-US"/>
        </w:rPr>
        <w:t>Complete Works of Swami Vivekananda, 5:267</w:t>
      </w:r>
    </w:p>
    <w:p w:rsidR="002C019E" w:rsidRDefault="002C019E" w:rsidP="00861D61">
      <w:pPr>
        <w:pStyle w:val="Textodenotaderodap"/>
      </w:pPr>
    </w:p>
  </w:footnote>
  <w:footnote w:id="8">
    <w:p w:rsidR="002C019E" w:rsidRDefault="002C019E" w:rsidP="00741F42">
      <w:pPr>
        <w:pStyle w:val="Textodenotadefim"/>
      </w:pPr>
      <w:r>
        <w:rPr>
          <w:rStyle w:val="Refdenotaderodap"/>
        </w:rPr>
        <w:footnoteRef/>
      </w:r>
      <w:r>
        <w:t xml:space="preserve"> Ibid., 283.</w:t>
      </w:r>
    </w:p>
  </w:footnote>
  <w:footnote w:id="9">
    <w:p w:rsidR="002C019E" w:rsidRDefault="002C019E" w:rsidP="008B1D4C">
      <w:pPr>
        <w:pStyle w:val="Textodenotadefim"/>
      </w:pPr>
      <w:r>
        <w:rPr>
          <w:rStyle w:val="Refdenotaderodap"/>
        </w:rPr>
        <w:footnoteRef/>
      </w:r>
      <w:r>
        <w:t xml:space="preserve"> Ibid., 3:1</w:t>
      </w:r>
    </w:p>
    <w:p w:rsidR="002C019E" w:rsidRDefault="002C019E">
      <w:pPr>
        <w:pStyle w:val="Textodenotaderodap"/>
      </w:pPr>
    </w:p>
  </w:footnote>
  <w:footnote w:id="10">
    <w:p w:rsidR="002C019E" w:rsidRDefault="002C019E" w:rsidP="00741F42">
      <w:pPr>
        <w:pStyle w:val="Textodenotadefim"/>
      </w:pPr>
      <w:r>
        <w:rPr>
          <w:rStyle w:val="Refdenotaderodap"/>
        </w:rPr>
        <w:footnoteRef/>
      </w:r>
      <w:r>
        <w:t xml:space="preserve"> Kathopanishad, IV.11</w:t>
      </w:r>
    </w:p>
  </w:footnote>
  <w:footnote w:id="11">
    <w:p w:rsidR="002C019E" w:rsidRPr="00741F42" w:rsidRDefault="002C019E" w:rsidP="00741F42">
      <w:pPr>
        <w:pStyle w:val="Textodenotadefim"/>
        <w:rPr>
          <w:lang w:val="en-US"/>
        </w:rPr>
      </w:pPr>
      <w:r>
        <w:rPr>
          <w:rStyle w:val="Refdenotaderodap"/>
        </w:rPr>
        <w:footnoteRef/>
      </w:r>
      <w:r>
        <w:t xml:space="preserve"> </w:t>
      </w:r>
      <w:r>
        <w:rPr>
          <w:lang w:val="en-US"/>
        </w:rPr>
        <w:t>Complete Works of S</w:t>
      </w:r>
      <w:r w:rsidRPr="00AE3399">
        <w:rPr>
          <w:lang w:val="en-US"/>
        </w:rPr>
        <w:t>wami Vivekananda, 3:3</w:t>
      </w:r>
    </w:p>
  </w:footnote>
  <w:footnote w:id="12">
    <w:p w:rsidR="002C019E" w:rsidRDefault="002C019E" w:rsidP="008B1D4C">
      <w:pPr>
        <w:pStyle w:val="Textodenotadefim"/>
      </w:pPr>
      <w:r>
        <w:rPr>
          <w:rStyle w:val="Refdenotaderodap"/>
        </w:rPr>
        <w:footnoteRef/>
      </w:r>
      <w:r>
        <w:t xml:space="preserve"> Ibid. </w:t>
      </w:r>
    </w:p>
    <w:p w:rsidR="002C019E" w:rsidRDefault="002C019E">
      <w:pPr>
        <w:pStyle w:val="Textodenotaderodap"/>
      </w:pPr>
    </w:p>
  </w:footnote>
  <w:footnote w:id="13">
    <w:p w:rsidR="002C019E" w:rsidRDefault="002C019E" w:rsidP="00741F42">
      <w:pPr>
        <w:pStyle w:val="Textodenotadefim"/>
      </w:pPr>
      <w:r>
        <w:rPr>
          <w:rStyle w:val="Refdenotaderodap"/>
        </w:rPr>
        <w:footnoteRef/>
      </w:r>
      <w:r>
        <w:t xml:space="preserve"> Ibid., 3-4</w:t>
      </w:r>
    </w:p>
  </w:footnote>
  <w:footnote w:id="14">
    <w:p w:rsidR="002C019E" w:rsidRDefault="002C019E" w:rsidP="00741F42">
      <w:pPr>
        <w:pStyle w:val="Textodenotadefim"/>
      </w:pPr>
      <w:r>
        <w:rPr>
          <w:rStyle w:val="Refdenotaderodap"/>
        </w:rPr>
        <w:footnoteRef/>
      </w:r>
      <w:r>
        <w:t xml:space="preserve"> Ibid., 4</w:t>
      </w:r>
    </w:p>
  </w:footnote>
  <w:footnote w:id="15">
    <w:p w:rsidR="002C019E" w:rsidRPr="00FA5B7D" w:rsidRDefault="002C019E" w:rsidP="008B1D4C">
      <w:pPr>
        <w:pStyle w:val="Textodenotadefim"/>
        <w:rPr>
          <w:lang w:val="en-US"/>
        </w:rPr>
      </w:pPr>
      <w:r>
        <w:rPr>
          <w:rStyle w:val="Refdenotaderodap"/>
        </w:rPr>
        <w:footnoteRef/>
      </w:r>
      <w:r>
        <w:t xml:space="preserve"> </w:t>
      </w:r>
      <w:r>
        <w:rPr>
          <w:lang w:val="en-US"/>
        </w:rPr>
        <w:t>Gospel of Sri R</w:t>
      </w:r>
      <w:r w:rsidRPr="00FA5B7D">
        <w:rPr>
          <w:lang w:val="en-US"/>
        </w:rPr>
        <w:t>amakrishna (</w:t>
      </w:r>
      <w:smartTag w:uri="urn:schemas-microsoft-com:office:smarttags" w:element="State">
        <w:r w:rsidRPr="00FA5B7D">
          <w:rPr>
            <w:lang w:val="en-US"/>
          </w:rPr>
          <w:t>New York</w:t>
        </w:r>
      </w:smartTag>
      <w:r w:rsidRPr="00FA5B7D">
        <w:rPr>
          <w:lang w:val="en-US"/>
        </w:rPr>
        <w:t xml:space="preserve">: </w:t>
      </w:r>
      <w:smartTag w:uri="urn:schemas-microsoft-com:office:smarttags" w:element="place">
        <w:smartTag w:uri="urn:schemas-microsoft-com:office:smarttags" w:element="PlaceName">
          <w:r w:rsidRPr="00FA5B7D">
            <w:rPr>
              <w:lang w:val="en-US"/>
            </w:rPr>
            <w:t>Ramakrishna</w:t>
          </w:r>
        </w:smartTag>
        <w:r w:rsidRPr="00FA5B7D">
          <w:rPr>
            <w:lang w:val="en-US"/>
          </w:rPr>
          <w:t xml:space="preserve"> </w:t>
        </w:r>
        <w:smartTag w:uri="urn:schemas-microsoft-com:office:smarttags" w:element="PlaceName">
          <w:r w:rsidRPr="00FA5B7D">
            <w:rPr>
              <w:lang w:val="en-US"/>
            </w:rPr>
            <w:t>Vivekananda</w:t>
          </w:r>
        </w:smartTag>
        <w:r w:rsidRPr="00FA5B7D">
          <w:rPr>
            <w:lang w:val="en-US"/>
          </w:rPr>
          <w:t xml:space="preserve"> </w:t>
        </w:r>
        <w:smartTag w:uri="urn:schemas-microsoft-com:office:smarttags" w:element="PlaceType">
          <w:r w:rsidRPr="00FA5B7D">
            <w:rPr>
              <w:lang w:val="en-US"/>
            </w:rPr>
            <w:t>Center</w:t>
          </w:r>
        </w:smartTag>
      </w:smartTag>
      <w:r w:rsidRPr="00FA5B7D">
        <w:rPr>
          <w:lang w:val="en-US"/>
        </w:rPr>
        <w:t xml:space="preserve">), p. </w:t>
      </w:r>
      <w:r>
        <w:rPr>
          <w:lang w:val="en-US"/>
        </w:rPr>
        <w:t>502</w:t>
      </w:r>
    </w:p>
    <w:p w:rsidR="002C019E" w:rsidRDefault="002C019E">
      <w:pPr>
        <w:pStyle w:val="Textodenotaderodap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4D0"/>
    <w:rsid w:val="00074C7D"/>
    <w:rsid w:val="000804D0"/>
    <w:rsid w:val="000E34DB"/>
    <w:rsid w:val="00142764"/>
    <w:rsid w:val="001D62FA"/>
    <w:rsid w:val="002C019E"/>
    <w:rsid w:val="00334FCE"/>
    <w:rsid w:val="00380D0C"/>
    <w:rsid w:val="00391D39"/>
    <w:rsid w:val="003A45C7"/>
    <w:rsid w:val="003A4ED9"/>
    <w:rsid w:val="003C47C8"/>
    <w:rsid w:val="00515E42"/>
    <w:rsid w:val="005577F7"/>
    <w:rsid w:val="005B6965"/>
    <w:rsid w:val="006A32ED"/>
    <w:rsid w:val="006F0E3D"/>
    <w:rsid w:val="006F18DA"/>
    <w:rsid w:val="00741F42"/>
    <w:rsid w:val="007E1985"/>
    <w:rsid w:val="00816126"/>
    <w:rsid w:val="00861D61"/>
    <w:rsid w:val="008B1D4C"/>
    <w:rsid w:val="008E678A"/>
    <w:rsid w:val="00A12B92"/>
    <w:rsid w:val="00AE3399"/>
    <w:rsid w:val="00C23719"/>
    <w:rsid w:val="00C46BF0"/>
    <w:rsid w:val="00C636F1"/>
    <w:rsid w:val="00D623B2"/>
    <w:rsid w:val="00E14704"/>
    <w:rsid w:val="00E2541C"/>
    <w:rsid w:val="00E539DF"/>
    <w:rsid w:val="00E84822"/>
    <w:rsid w:val="00FA5B7D"/>
    <w:rsid w:val="00FB1B16"/>
    <w:rsid w:val="00FD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FAEE646"/>
  <w15:chartTrackingRefBased/>
  <w15:docId w15:val="{315D7CE1-B778-4738-B213-12918625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qFormat/>
    <w:pPr>
      <w:keepNext/>
      <w:widowControl w:val="0"/>
      <w:autoSpaceDE w:val="0"/>
      <w:autoSpaceDN w:val="0"/>
      <w:ind w:firstLine="720"/>
      <w:jc w:val="center"/>
      <w:outlineLvl w:val="1"/>
    </w:pPr>
    <w:rPr>
      <w:b/>
      <w:bCs/>
      <w:i/>
      <w:iCs/>
      <w:sz w:val="24"/>
      <w:szCs w:val="24"/>
      <w:lang w:val="en-US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pPr>
      <w:widowControl w:val="0"/>
      <w:autoSpaceDE w:val="0"/>
      <w:autoSpaceDN w:val="0"/>
      <w:jc w:val="center"/>
    </w:pPr>
    <w:rPr>
      <w:b/>
      <w:bCs/>
      <w:sz w:val="24"/>
      <w:szCs w:val="24"/>
      <w:lang w:val="en-US"/>
    </w:rPr>
  </w:style>
  <w:style w:type="paragraph" w:styleId="Recuodecorpodetexto">
    <w:name w:val="Body Text Indent"/>
    <w:basedOn w:val="Normal"/>
    <w:pPr>
      <w:widowControl w:val="0"/>
      <w:autoSpaceDE w:val="0"/>
      <w:autoSpaceDN w:val="0"/>
      <w:ind w:firstLine="720"/>
    </w:pPr>
    <w:rPr>
      <w:i/>
      <w:iCs/>
      <w:sz w:val="24"/>
      <w:szCs w:val="24"/>
      <w:lang w:val="en-US"/>
    </w:rPr>
  </w:style>
  <w:style w:type="paragraph" w:styleId="Textodenotadefim">
    <w:name w:val="endnote text"/>
    <w:basedOn w:val="Normal"/>
    <w:semiHidden/>
  </w:style>
  <w:style w:type="character" w:styleId="Refdenotadefim">
    <w:name w:val="endnote reference"/>
    <w:semiHidden/>
    <w:rPr>
      <w:vertAlign w:val="superscript"/>
    </w:rPr>
  </w:style>
  <w:style w:type="paragraph" w:styleId="Textodenotaderodap">
    <w:name w:val="footnote text"/>
    <w:basedOn w:val="Normal"/>
    <w:semiHidden/>
    <w:rsid w:val="005577F7"/>
  </w:style>
  <w:style w:type="character" w:styleId="Refdenotaderodap">
    <w:name w:val="footnote reference"/>
    <w:semiHidden/>
    <w:rsid w:val="005577F7"/>
    <w:rPr>
      <w:vertAlign w:val="superscript"/>
    </w:rPr>
  </w:style>
  <w:style w:type="paragraph" w:styleId="Rodap">
    <w:name w:val="footer"/>
    <w:basedOn w:val="Normal"/>
    <w:rsid w:val="001D62FA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rsid w:val="001D6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1938</Words>
  <Characters>9458</Characters>
  <Application>Microsoft Office Word</Application>
  <DocSecurity>0</DocSecurity>
  <Lines>171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Dharma, a base da vida humana</vt:lpstr>
    </vt:vector>
  </TitlesOfParts>
  <Company/>
  <LinksUpToDate>false</LinksUpToDate>
  <CharactersWithSpaces>11380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Dharma, a base da vida humana</dc:title>
  <dc:subject/>
  <dc:creator>Swami Paratparananda</dc:creator>
  <cp:keywords/>
  <dc:description/>
  <cp:lastModifiedBy>Eduardo Pimenta</cp:lastModifiedBy>
  <cp:revision>3</cp:revision>
  <cp:lastPrinted>2010-01-05T11:53:00Z</cp:lastPrinted>
  <dcterms:created xsi:type="dcterms:W3CDTF">2020-05-09T17:33:00Z</dcterms:created>
  <dcterms:modified xsi:type="dcterms:W3CDTF">2020-05-09T17:35:00Z</dcterms:modified>
</cp:coreProperties>
</file>